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00" w:after="100" w:line="240" w:lineRule="auto"/>
        <w:outlineLvl w:val="0"/>
        <w:rPr>
          <w:rFonts w:ascii="Calibri" w:cs="Calibri" w:hAnsi="Calibri" w:eastAsia="Calibri"/>
          <w:b w:val="1"/>
          <w:bCs w:val="1"/>
          <w:kern w:val="36"/>
          <w:sz w:val="48"/>
          <w:szCs w:val="48"/>
          <w:lang w:val="en-US"/>
        </w:rPr>
      </w:pPr>
      <w:r>
        <w:rPr>
          <w:rFonts w:ascii="Calibri" w:cs="Calibri" w:hAnsi="Calibri" w:eastAsia="Calibri"/>
          <w:b w:val="1"/>
          <w:bCs w:val="1"/>
          <w:kern w:val="36"/>
          <w:sz w:val="48"/>
          <w:szCs w:val="48"/>
          <w:rtl w:val="0"/>
          <w:lang w:val="en-US"/>
        </w:rPr>
        <w:t>Incredible Rod Stewart Tribute Act</w:t>
      </w:r>
    </w:p>
    <w:p>
      <w:pPr>
        <w:pStyle w:val="Body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There are other Rod Stewart tribute acts, but none is as convincing as Garry Pease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Garry Pease not only looks like Rod Stewart, he sounds like him too!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In an all-action, non-stop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tribute show, Garry performs all of the favorites from Rod Stewart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s vast portfolio of songs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everything from the early Faces days through to the Old American Songbook.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Last year, The Rod Stewart Experience had Sincere Support guests singing along and dancing on their feet as they experience this authentic tribute act.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The show had everything you would expect from a real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concert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superb showmanship, audience participation and superb songs belted out in exactly the same style as Rod Stewart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in fact, it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s exactly what a Rod Stewart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act should be.</w:t>
      </w:r>
    </w:p>
    <w:p>
      <w:pPr>
        <w:pStyle w:val="Body"/>
        <w:spacing w:before="100" w:after="1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714500" cy="1495425"/>
            <wp:effectExtent l="0" t="0" r="0" b="0"/>
            <wp:docPr id="1073741825" name="officeArt object" descr="http://www.rodstewartexperience.com/wp-content/uploads/2011/01/rod-stewart-meets-garry-pea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rodstewartexperience.com/wp-content/uploads/2011/01/rod-stewart-meets-garry-peas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You could hardly tell the difference between Garry and Rod Stewart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and once the party got going, nobody cared; they were all having such a great time.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This unique tribute act, sound-alike and look-alike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and is the nearest thing to having your own Rod Stewart concert with The Rod Stewart Experience.</w:t>
      </w:r>
    </w:p>
    <w:p>
      <w:pPr>
        <w:pStyle w:val="Body"/>
        <w:spacing w:before="100" w:after="100" w:line="240" w:lineRule="auto"/>
        <w:rPr>
          <w:color w:val="000000"/>
          <w:sz w:val="24"/>
          <w:szCs w:val="24"/>
          <w:u w:color="000000"/>
          <w:lang w:val="en-US"/>
        </w:rPr>
      </w:pP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Come and join us on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SATURDAY 30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 APRIL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2016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at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THE GARISSON, PENISTONE ROAD, SHEFFIELD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 S6 2GB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 and see for yourself this amazing show, Sincere Supports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personalised Rod Stewart Experience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tonight, he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s yours!</w:t>
      </w:r>
    </w:p>
    <w:p>
      <w:pPr>
        <w:pStyle w:val="Body"/>
        <w:shd w:val="clear" w:color="auto" w:fill="ffffff"/>
        <w:spacing w:after="240" w:line="360" w:lineRule="atLeast"/>
        <w:jc w:val="center"/>
        <w:rPr>
          <w:color w:val="000000"/>
          <w:sz w:val="24"/>
          <w:szCs w:val="24"/>
          <w:u w:color="000000"/>
          <w:lang w:val="en-US"/>
        </w:rPr>
      </w:pPr>
      <w:bookmarkStart w:name="_GoBack" w:id="0"/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 xml:space="preserve">Tickets priced at </w:t>
      </w:r>
      <w:r>
        <w:rPr>
          <w:rFonts w:hAnsi="Trebuchet MS" w:hint="default"/>
          <w:color w:val="000000"/>
          <w:sz w:val="24"/>
          <w:szCs w:val="24"/>
          <w:u w:color="000000"/>
          <w:rtl w:val="0"/>
          <w:lang w:val="en-US"/>
        </w:rPr>
        <w:t>£</w:t>
      </w:r>
      <w:r>
        <w:rPr>
          <w:rFonts w:ascii="Trebuchet MS"/>
          <w:color w:val="000000"/>
          <w:sz w:val="24"/>
          <w:szCs w:val="24"/>
          <w:u w:color="000000"/>
          <w:rtl w:val="0"/>
          <w:lang w:val="en-US"/>
        </w:rPr>
        <w:t>10.00 and available from Bev Lister 07855 770782 or Peter Taylor 07774 700373</w:t>
      </w:r>
      <w:bookmarkEnd w:id="0"/>
    </w:p>
    <w:p>
      <w:pPr>
        <w:pStyle w:val="Body"/>
        <w:shd w:val="clear" w:color="auto" w:fill="ffffff"/>
        <w:spacing w:after="240" w:line="360" w:lineRule="atLeast"/>
        <w:jc w:val="center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lang w:val="en-US"/>
        </w:rPr>
      </w:pPr>
    </w:p>
    <w:p>
      <w:pPr>
        <w:pStyle w:val="Body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2867025" cy="1619250"/>
            <wp:effectExtent l="0" t="0" r="0" b="0"/>
            <wp:docPr id="1073741826" name="officeArt object" descr="H:\Sincere Support\New Sincere Suppo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H:\Sincere Support\New Sincere Support logo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en-US"/>
        </w:rPr>
        <w:t>Registered charity number 1100487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